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Martial Law Proclamations in Colonial Australia</w:t>
      </w:r>
    </w:p>
    <w:p>
      <w:pPr>
        <w:pStyle w:val="Subtitle"/>
      </w:pPr>
      <w:r>
        <w:t>Schedule of selected extracts</w:t>
      </w:r>
    </w:p>
    <w:p>
      <w:r>
        <w:t>The wording of a martial-law proclamation helps establish its stated purpose, geographical reach and authorised powers. The declarations below concern food shortages, convict rebellion, the overthrow of a governor, bushranging and conflict with Aboriginal peoples. Their different uses show why a declaration alone cannot settle whether a particular episode should be classified as war.</w:t>
      </w:r>
    </w:p>
    <w:p>
      <w:r>
        <w:t>Seven main episodes are listed, with the 1830 Tasmanian extension included as an additional instrument within the 1828–1832 episode. Quotation marks identify source wording; ellipses mark omissions. Contemporary accounts and retrospective recitals are identified where the original declaration has not been directly verified. Historical terminology is retained within quotations.</w:t>
      </w:r>
    </w:p>
    <w:tbl>
      <w:tblPr>
        <w:tblW w:type="auto" w:w="0"/>
        <w:jc w:val="center"/>
        <w:tblLayout w:type="fixed"/>
        <w:tblLook w:firstColumn="1" w:firstRow="1" w:lastColumn="0" w:lastRow="0" w:noHBand="0" w:noVBand="1" w:val="04A0"/>
      </w:tblPr>
      <w:tblGrid>
        <w:gridCol w:w="2520"/>
        <w:gridCol w:w="2592"/>
        <w:gridCol w:w="5328"/>
        <w:gridCol w:w="4536"/>
      </w:tblGrid>
      <w:tr>
        <w:trPr>
          <w:tblHeader/>
          <w:cantSplit/>
        </w:trPr>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6E6"/>
          </w:tcPr>
          <w:p>
            <w:pPr>
              <w:spacing w:after="60" w:line="240" w:lineRule="auto"/>
            </w:pPr>
            <w:r>
              <w:rPr>
                <w:b/>
                <w:sz w:val="21"/>
              </w:rPr>
              <w:t>Date place and issuer</w:t>
            </w:r>
          </w:p>
        </w:tc>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6E6"/>
          </w:tcPr>
          <w:p>
            <w:pPr>
              <w:spacing w:after="60" w:line="240" w:lineRule="auto"/>
            </w:pPr>
            <w:r>
              <w:rPr>
                <w:b/>
                <w:sz w:val="21"/>
              </w:rPr>
              <w:t>Stated purpose or occasion</w:t>
            </w:r>
          </w:p>
        </w:tc>
        <w:tc>
          <w:tcPr>
            <w:tcW w:type="dxa" w:w="53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6E6"/>
          </w:tcPr>
          <w:p>
            <w:pPr>
              <w:spacing w:after="60" w:line="240" w:lineRule="auto"/>
            </w:pPr>
            <w:r>
              <w:rPr>
                <w:b/>
                <w:sz w:val="21"/>
              </w:rPr>
              <w:t>Selected wording</w:t>
            </w:r>
          </w:p>
        </w:tc>
        <w:tc>
          <w:tcPr>
            <w:tcW w:type="dxa" w:w="45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6E6"/>
          </w:tcPr>
          <w:p>
            <w:pPr>
              <w:spacing w:after="60" w:line="240" w:lineRule="auto"/>
            </w:pPr>
            <w:r>
              <w:rPr>
                <w:b/>
                <w:sz w:val="21"/>
              </w:rPr>
              <w:t>Scope and source</w:t>
            </w:r>
          </w:p>
        </w:tc>
      </w:tr>
      <w:tr>
        <w:trPr>
          <w:cantSplit/>
        </w:trPr>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22 March 1790</w:t>
              <w:br/>
              <w:t>Norfolk Island</w:t>
              <w:br/>
              <w:t>Major Robert Ross</w:t>
            </w:r>
          </w:p>
        </w:tc>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Food and public order following the wreck of HMS Sirius.</w:t>
            </w:r>
          </w:p>
        </w:tc>
        <w:tc>
          <w:tcPr>
            <w:tcW w:type="dxa" w:w="53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“the proclamation was then read, declaring the Law Martial to be that by which the Island was to be governed by, untill further orders”</w:t>
            </w:r>
          </w:p>
        </w:tc>
        <w:tc>
          <w:tcPr>
            <w:tcW w:type="dxa" w:w="45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Contemporary account by Philip Gidley King, rather than the declaration itself. The accompanying resolutions concerned capital punishment, pooled food and reduced rations. [1]</w:t>
            </w:r>
          </w:p>
        </w:tc>
      </w:tr>
      <w:tr>
        <w:trPr>
          <w:cantSplit/>
        </w:trPr>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5 March 1804</w:t>
              <w:br/>
              <w:t>Castle Hill and surrounding NSW districts</w:t>
              <w:br/>
              <w:t>Governor Philip Gidley King</w:t>
            </w:r>
          </w:p>
        </w:tc>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Suppression of a convict rebellion.</w:t>
            </w:r>
          </w:p>
        </w:tc>
        <w:tc>
          <w:tcPr>
            <w:tcW w:type="dxa" w:w="53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“STATE OF REBELLION … And do Establish MARTIAL LAW throughout those Districts.”</w:t>
              <w:br/>
              <w:t>“every Person who is seen in a State of Rebellious Opposition … and does not give himself or themselves up within Twenty-four Hours, will be tried by a Court Martial”</w:t>
            </w:r>
          </w:p>
        </w:tc>
        <w:tc>
          <w:tcPr>
            <w:tcW w:type="dxa" w:w="45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A declaration directed at rebellious convicts and specified districts. Dated 5 March; published 11 March 1804. [2]</w:t>
            </w:r>
          </w:p>
        </w:tc>
      </w:tr>
      <w:tr>
        <w:trPr>
          <w:cantSplit/>
        </w:trPr>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26–27 January 1808</w:t>
              <w:br/>
              <w:t>Sydney</w:t>
              <w:br/>
              <w:t>Major George Johnston</w:t>
            </w:r>
          </w:p>
        </w:tc>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Military overthrow of Governor William Bligh.</w:t>
            </w:r>
          </w:p>
        </w:tc>
        <w:tc>
          <w:tcPr>
            <w:tcW w:type="dxa" w:w="53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“The Public Peace being happily and, I trust in Almighty God, permanently established I hereby proclaim the Cessation of Martial Law.”</w:t>
            </w:r>
          </w:p>
        </w:tc>
        <w:tc>
          <w:tcPr>
            <w:tcW w:type="dxa" w:w="45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Extract from the cessation proclamation of 27 January, rather than the initial declaration. It demonstrates martial law during a seizure of colonial government. [3]</w:t>
            </w:r>
          </w:p>
        </w:tc>
      </w:tr>
      <w:tr>
        <w:trPr>
          <w:cantSplit/>
        </w:trPr>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25 April 1815</w:t>
              <w:br/>
              <w:t>Van Diemen’s Land</w:t>
              <w:br/>
              <w:t>Lieutenant Governor Thomas Davey</w:t>
            </w:r>
          </w:p>
        </w:tc>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Suppression and trial of bushrangers in a colony lacking a local superior criminal court.</w:t>
            </w:r>
          </w:p>
        </w:tc>
        <w:tc>
          <w:tcPr>
            <w:tcW w:type="dxa" w:w="53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“The want of a local criminal court was, however, the principal justification”</w:t>
            </w:r>
          </w:p>
        </w:tc>
        <w:tc>
          <w:tcPr>
            <w:tcW w:type="dxa" w:w="45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Bigge’s later official report, not proclamation wording. Exact declaration text remains unverified here. The printed proclamation is dated 25 April; Bigge describes its commencement as May. [4]</w:t>
            </w:r>
          </w:p>
        </w:tc>
      </w:tr>
      <w:tr>
        <w:trPr>
          <w:cantSplit/>
        </w:trPr>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14 August 1824</w:t>
              <w:br/>
              <w:t>Bathurst and country west of Mount York</w:t>
              <w:br/>
              <w:t>Governor Thomas Brisbane</w:t>
            </w:r>
          </w:p>
        </w:tc>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Violence and retaliation that ordinary civil powers were said to have failed to contain.</w:t>
            </w:r>
          </w:p>
        </w:tc>
        <w:tc>
          <w:tcPr>
            <w:tcW w:type="dxa" w:w="53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“in Order to restore Tranquillity”</w:t>
              <w:br/>
              <w:t>“the Use of Arms against the Natives beyond the ordinary Rule of Law in Time of Peace”</w:t>
              <w:br/>
              <w:t>“Cruelty is never Lawful”</w:t>
              <w:br/>
              <w:t>“the helpless Women and Children are to be spared”</w:t>
            </w:r>
          </w:p>
        </w:tc>
        <w:tc>
          <w:tcPr>
            <w:tcW w:type="dxa" w:w="45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Purpose and coercive powers must be read together. The proclamation authorised summary justice and directed assistance to magistrates, while expressing restraints on bloodshed. [5]</w:t>
            </w:r>
          </w:p>
        </w:tc>
      </w:tr>
      <w:tr>
        <w:trPr>
          <w:cantSplit/>
        </w:trPr>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1 November 1828</w:t>
              <w:br/>
              <w:t>Van Diemen’s Land</w:t>
              <w:br/>
              <w:t>Lieutenant Governor George Arthur</w:t>
            </w:r>
          </w:p>
        </w:tc>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Removal of Aboriginal people from the settled districts and suppression of attacks.</w:t>
            </w:r>
          </w:p>
        </w:tc>
        <w:tc>
          <w:tcPr>
            <w:tcW w:type="dxa" w:w="53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“Martial Law is and shall continue to be in force against the several black or aboriginal Natives, within the several districts of this island; excepting always the places and portions of this Island next mentioned”</w:t>
            </w:r>
          </w:p>
        </w:tc>
        <w:tc>
          <w:tcPr>
            <w:tcW w:type="dxa" w:w="45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Operative declaration reproduced by Bonwick. Specified regions were initially exempted. Arthur’s accompanying despatch says arms were not to be used until other measures for driving people off had failed. [6]</w:t>
            </w:r>
          </w:p>
        </w:tc>
      </w:tr>
      <w:tr>
        <w:trPr>
          <w:cantSplit/>
        </w:trPr>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1 October 1830</w:t>
              <w:br/>
              <w:t>Van Diemen’s Land</w:t>
              <w:br/>
              <w:t>George Arthur</w:t>
              <w:br/>
              <w:t>Extension of the 1828 episode</w:t>
            </w:r>
          </w:p>
        </w:tc>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Island-wide extension in preparation for expanded military operations and capture.</w:t>
            </w:r>
          </w:p>
        </w:tc>
        <w:tc>
          <w:tcPr>
            <w:tcW w:type="dxa" w:w="53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“Martial Law is and shall continue to be in force against all the Black or Aboriginal Natives, within every part of this island”</w:t>
              <w:br/>
              <w:t>“the actual use of arms be in no case resorted to … if they can by other means be captured”</w:t>
            </w:r>
          </w:p>
        </w:tc>
        <w:tc>
          <w:tcPr>
            <w:tcW w:type="dxa" w:w="45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60" w:line="240" w:lineRule="auto"/>
            </w:pPr>
            <w:r>
              <w:rPr>
                <w:b w:val="0"/>
                <w:sz w:val="21"/>
              </w:rPr>
              <w:t>The proclamation excepted tribes or individuals thought peaceful and uninvolved in outrages. It required humane treatment of captives and those surrendering. This extension should not be silently counted as a separate episode. [7]</w:t>
            </w:r>
          </w:p>
        </w:tc>
      </w:tr>
      <w:tr>
        <w:trPr>
          <w:cantSplit/>
        </w:trPr>
        <w:tc>
          <w:tcPr>
            <w:tcW w:type="dxa" w:w="252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4 December 1854</w:t>
              <w:br/>
              <w:t>Ballarat district, Victoria</w:t>
              <w:br/>
              <w:t>Lieutenant Governor Charles Hotham</w:t>
            </w:r>
          </w:p>
        </w:tc>
        <w:tc>
          <w:tcPr>
            <w:tcW w:type="dxa" w:w="259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Suppression of rebellion following the attack on the Eureka Stockade.</w:t>
            </w:r>
          </w:p>
        </w:tc>
        <w:tc>
          <w:tcPr>
            <w:tcW w:type="dxa" w:w="53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“bodies of armed men have arrayed themselves against Her Majesty’s forces and the constituted authorities”</w:t>
              <w:br/>
              <w:t>“no sentence of death shall be carried into execution against any such person without my express consent thereto”</w:t>
            </w:r>
          </w:p>
        </w:tc>
        <w:tc>
          <w:tcPr>
            <w:tcW w:type="dxa" w:w="453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6F6F6"/>
          </w:tcPr>
          <w:p>
            <w:pPr>
              <w:spacing w:after="60" w:line="240" w:lineRule="auto"/>
            </w:pPr>
            <w:r>
              <w:rPr>
                <w:b w:val="0"/>
                <w:sz w:val="21"/>
              </w:rPr>
              <w:t>Dated 4 December; specified commencement was noon on 6 December. The proclamation authorised vigorous suppression and punishment under martial law. Carboni reproduces it in his contemporary account. [8]</w:t>
            </w:r>
          </w:p>
        </w:tc>
      </w:tr>
    </w:tbl>
    <w:p>
      <w:pPr>
        <w:pStyle w:val="Heading1"/>
      </w:pPr>
      <w:r>
        <w:t>Reading the schedule</w:t>
      </w:r>
    </w:p>
    <w:p>
      <w:r>
        <w:t>The declarations establish that colonial authorities invoked exceptional coercive powers for several kinds of emergency. A stated aim of restoring tranquillity does not, by itself, rule out warfare. Equally, the words martial law do not establish the character, scale or organisation of the underlying conflict. Restraints written into a proclamation describe official instructions; their observance requires separate evidence.</w:t>
      </w:r>
    </w:p>
    <w:p>
      <w:r>
        <w:br w:type="page"/>
      </w:r>
    </w:p>
    <w:p>
      <w:pPr>
        <w:pStyle w:val="Heading1"/>
      </w:pPr>
      <w:r>
        <w:t>Sources and transcription notes</w:t>
      </w:r>
    </w:p>
    <w:p>
      <w:r>
        <w:t xml:space="preserve">[1] Philip Gidley King, journal, 21–22 March 1790, State Library of New South Wales, transcript a1519, manuscript pages 344–345. The quoted passage records the reading of the proclamation; it is not a verbatim copy of the instrument. </w:t>
      </w:r>
      <w:hyperlink r:id="rId9">
        <w:r>
          <w:rPr>
            <w:color w:val="000000"/>
            <w:u w:val="single"/>
          </w:rPr>
          <w:t>King journal transcript</w:t>
        </w:r>
      </w:hyperlink>
    </w:p>
    <w:p>
      <w:r>
        <w:t xml:space="preserve">[2] Philip Gidley King, Proclamation, 5 March 1804, The Sydney Gazette and New South Wales Advertiser, 11 March 1804, p 1. Quoted from the historical transcription. </w:t>
      </w:r>
      <w:hyperlink r:id="rId10">
        <w:r>
          <w:rPr>
            <w:color w:val="000000"/>
            <w:u w:val="single"/>
          </w:rPr>
          <w:t>1804 proclamation transcription</w:t>
        </w:r>
      </w:hyperlink>
    </w:p>
    <w:p>
      <w:r>
        <w:t xml:space="preserve">[3] George Johnston, Proclamation, 27 January 1808, reproduced in Gwendolen H Swinburne, A Source Book of Australian History (1919). The original is also catalogued by the State Library of New South Wales. </w:t>
      </w:r>
      <w:hyperlink r:id="rId11">
        <w:r>
          <w:rPr>
            <w:color w:val="000000"/>
            <w:u w:val="single"/>
          </w:rPr>
          <w:t>Source Book transcription</w:t>
        </w:r>
      </w:hyperlink>
    </w:p>
    <w:p>
      <w:r>
        <w:t xml:space="preserve">[4] John Thomas Bigge, Report on the State of the Colony of New South Wales (1822), section on Van Diemen’s Land bushrangers. This entry quotes the official report because the exact declaration text has not been verified. The Andrew Bent bibliography records the proclamation as 25 April 1815. </w:t>
      </w:r>
      <w:hyperlink r:id="rId12">
        <w:r>
          <w:rPr>
            <w:color w:val="000000"/>
            <w:u w:val="single"/>
          </w:rPr>
          <w:t>Bigge report</w:t>
        </w:r>
      </w:hyperlink>
    </w:p>
    <w:p>
      <w:r>
        <w:t xml:space="preserve">[5] Thomas Brisbane, Proclamation, 14 August 1824, published in The Sydney Gazette and New South Wales Advertiser, 19 August 1824. Selected clauses are quoted from published transcriptions of the proclamation; the Council’s Aboriginal Heritage Study also reproduces the instrument. </w:t>
      </w:r>
      <w:hyperlink r:id="rId13">
        <w:r>
          <w:rPr>
            <w:color w:val="000000"/>
            <w:u w:val="single"/>
          </w:rPr>
          <w:t>Original newspaper record</w:t>
        </w:r>
      </w:hyperlink>
    </w:p>
    <w:p>
      <w:r>
        <w:t xml:space="preserve">[6] George Arthur, Proclamation, 1 November 1828, reproduced in James Bonwick, The Last of the Tasmanians (1870), ch 4. Arthur’s despatch of 4 November 1828 is reproduced in Sketch of the History of Van Diemen’s Land (1832), appendix. </w:t>
      </w:r>
      <w:hyperlink r:id="rId14">
        <w:r>
          <w:rPr>
            <w:color w:val="000000"/>
            <w:u w:val="single"/>
          </w:rPr>
          <w:t>Bonwick proclamation transcription</w:t>
        </w:r>
      </w:hyperlink>
    </w:p>
    <w:p>
      <w:r>
        <w:t xml:space="preserve">[7] George Arthur, Proclamation, 1 October 1830, reproduced in Bonwick, ch 4. The quotation about peaceful tribes is summarised in the table; the full qualifications should accompany any longer website transcription. </w:t>
      </w:r>
      <w:hyperlink r:id="rId14">
        <w:r>
          <w:rPr>
            <w:color w:val="000000"/>
            <w:u w:val="single"/>
          </w:rPr>
          <w:t>1830 extension transcription</w:t>
        </w:r>
      </w:hyperlink>
    </w:p>
    <w:p>
      <w:r>
        <w:t xml:space="preserve">[8] Charles Hotham, Proclamation, 4 December 1854, reproduced in Raffaello Carboni, The Eureka Stockade (1855), ch 66. Carboni’s bracketed editorial interjection is excluded from the quotation. </w:t>
      </w:r>
      <w:hyperlink r:id="rId15">
        <w:r>
          <w:rPr>
            <w:color w:val="000000"/>
            <w:u w:val="single"/>
          </w:rPr>
          <w:t>Eureka proclamation transcription</w:t>
        </w:r>
      </w:hyperlink>
    </w:p>
    <w:p>
      <w:r>
        <w:t xml:space="preserve">Additional Bathurst source: </w:t>
      </w:r>
      <w:hyperlink r:id="rId16">
        <w:r>
          <w:rPr>
            <w:color w:val="000000"/>
            <w:u w:val="single"/>
          </w:rPr>
          <w:t>Bathurst Regional Council Aboriginal Heritage Study</w:t>
        </w:r>
      </w:hyperlink>
    </w:p>
    <w:p>
      <w:r>
        <w:t xml:space="preserve">Additional Tasmanian source: </w:t>
      </w:r>
      <w:hyperlink r:id="rId17">
        <w:r>
          <w:rPr>
            <w:color w:val="000000"/>
            <w:u w:val="single"/>
          </w:rPr>
          <w:t>Arthur despatch and official correspondence</w:t>
        </w:r>
      </w:hyperlink>
    </w:p>
    <w:p>
      <w:pPr>
        <w:pStyle w:val="Heading2"/>
      </w:pPr>
      <w:r>
        <w:t>Survey and counting convention</w:t>
      </w:r>
    </w:p>
    <w:p>
      <w:r>
        <w:t xml:space="preserve">Ben Hingley, “A Nursery of Martial Law” (2024) 110(2) Journal of the Royal Australian Historical Society 181–208, identifies seven pre-Federation uses. The repository title ends at 1853, although the journal’s indexed text discusses Eureka in 1854. This schedule uses the instrument’s own 1854 date and distinguishes episodes from extensions and revocations. </w:t>
      </w:r>
      <w:hyperlink r:id="rId18">
        <w:r>
          <w:rPr>
            <w:color w:val="000000"/>
            <w:u w:val="single"/>
          </w:rPr>
          <w:t>Repository citation and abstract</w:t>
        </w:r>
      </w:hyperlink>
    </w:p>
    <w:sectPr w:rsidR="00FC693F" w:rsidRPr="0006063C" w:rsidSect="00034616">
      <w:footerReference w:type="default" r:id="rId19"/>
      <w:pgSz w:w="16848" w:h="11952" w:orient="landscape"/>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Foundation Australia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cms.sl.nsw.gov.au/_transcript/2007/D00007/a1519.html" TargetMode="External"/><Relationship Id="rId10" Type="http://schemas.openxmlformats.org/officeDocument/2006/relationships/hyperlink" Target="https://www.australianculture.org/proclamation-martial-law-1804/" TargetMode="External"/><Relationship Id="rId11" Type="http://schemas.openxmlformats.org/officeDocument/2006/relationships/hyperlink" Target="https://www.gutenberg.net.au/ebooks/e00094.html" TargetMode="External"/><Relationship Id="rId12" Type="http://schemas.openxmlformats.org/officeDocument/2006/relationships/hyperlink" Target="https://gutenberg.net.au/ebooks13/1300181h.html" TargetMode="External"/><Relationship Id="rId13" Type="http://schemas.openxmlformats.org/officeDocument/2006/relationships/hyperlink" Target="https://trove.nla.gov.au/newspaper/article/2183147" TargetMode="External"/><Relationship Id="rId14" Type="http://schemas.openxmlformats.org/officeDocument/2006/relationships/hyperlink" Target="https://en.wikisource.org/wiki/The_Last_of_the_Tasmanians/Chapter_4" TargetMode="External"/><Relationship Id="rId15" Type="http://schemas.openxmlformats.org/officeDocument/2006/relationships/hyperlink" Target="https://www.fulltextarchive.com/book/The-Eureka-Stockade/3/" TargetMode="External"/><Relationship Id="rId16" Type="http://schemas.openxmlformats.org/officeDocument/2006/relationships/hyperlink" Target="https://www.bathurst.nsw.gov.au/files/assets/public/v/1/council/plans-policies/aboriginal-heritage-study.pdf" TargetMode="External"/><Relationship Id="rId17" Type="http://schemas.openxmlformats.org/officeDocument/2006/relationships/hyperlink" Target="https://www.gutenberg.net.au/ebooks14/1401091h.html" TargetMode="External"/><Relationship Id="rId18" Type="http://schemas.openxmlformats.org/officeDocument/2006/relationships/hyperlink" Target="https://rune.une.edu.au/entities/publication/b25daef3-5071-4e6a-bc2e-fa36194b19e4" TargetMode="External"/><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