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British Military Interventions in Colonial Frontier Violence</w:t>
      </w:r>
    </w:p>
    <w:p>
      <w:r>
        <w:rPr>
          <w:b/>
        </w:rPr>
        <w:t xml:space="preserve">Purpose. </w:t>
      </w:r>
      <w:r>
        <w:t>This schedule identifies the principal occasions on which British or colonial military forces were deployed in response to Aboriginal-settler frontier violence. It records the military unit and, where the evidence permits, the number of soldiers deployed. Bathurst and Van Diemen's Land are intentionally included here as well as in the separate Martial Law schedule because martial law and military intervention are distinct historical facts.</w:t>
      </w:r>
    </w:p>
    <w:tbl>
      <w:tblPr>
        <w:tblStyle w:val="TableGrid"/>
        <w:tblW w:type="auto" w:w="0"/>
        <w:jc w:val="center"/>
        <w:tblLayout w:type="fixed"/>
        <w:tblLook w:firstColumn="1" w:firstRow="1" w:lastColumn="0" w:lastRow="0" w:noHBand="0" w:noVBand="1" w:val="04A0"/>
      </w:tblPr>
      <w:tblGrid>
        <w:gridCol w:w="2504"/>
        <w:gridCol w:w="2504"/>
        <w:gridCol w:w="2504"/>
        <w:gridCol w:w="2504"/>
        <w:gridCol w:w="2504"/>
        <w:gridCol w:w="2504"/>
      </w:tblGrid>
      <w:tr>
        <w:trPr>
          <w:tblHeader w:val="true"/>
          <w:cantSplit/>
        </w:trPr>
        <w:tc>
          <w:tcPr>
            <w:tcW w:type="dxa" w:w="935"/>
            <w:shd w:fill="D9E2F3"/>
            <w:tcMar>
              <w:top w:w="70" w:type="dxa"/>
              <w:start w:w="70" w:type="dxa"/>
              <w:bottom w:w="70" w:type="dxa"/>
              <w:end w:w="70" w:type="dxa"/>
            </w:tcMar>
            <w:vAlign w:val="center"/>
          </w:tcPr>
          <w:p>
            <w:pPr>
              <w:jc w:val="center"/>
            </w:pPr>
            <w:r>
              <w:rPr>
                <w:b/>
                <w:sz w:val="17"/>
              </w:rPr>
              <w:t>Date</w:t>
            </w:r>
          </w:p>
        </w:tc>
        <w:tc>
          <w:tcPr>
            <w:tcW w:type="dxa" w:w="2381"/>
            <w:shd w:fill="D9E2F3"/>
            <w:tcMar>
              <w:top w:w="70" w:type="dxa"/>
              <w:start w:w="70" w:type="dxa"/>
              <w:bottom w:w="70" w:type="dxa"/>
              <w:end w:w="70" w:type="dxa"/>
            </w:tcMar>
            <w:vAlign w:val="center"/>
          </w:tcPr>
          <w:p>
            <w:pPr>
              <w:jc w:val="center"/>
            </w:pPr>
            <w:r>
              <w:rPr>
                <w:b/>
                <w:sz w:val="17"/>
              </w:rPr>
              <w:t>Place / operation</w:t>
            </w:r>
          </w:p>
        </w:tc>
        <w:tc>
          <w:tcPr>
            <w:tcW w:type="dxa" w:w="2494"/>
            <w:shd w:fill="D9E2F3"/>
            <w:tcMar>
              <w:top w:w="70" w:type="dxa"/>
              <w:start w:w="70" w:type="dxa"/>
              <w:bottom w:w="70" w:type="dxa"/>
              <w:end w:w="70" w:type="dxa"/>
            </w:tcMar>
            <w:vAlign w:val="center"/>
          </w:tcPr>
          <w:p>
            <w:pPr>
              <w:jc w:val="center"/>
            </w:pPr>
            <w:r>
              <w:rPr>
                <w:b/>
                <w:sz w:val="17"/>
              </w:rPr>
              <w:t>Military unit</w:t>
            </w:r>
          </w:p>
        </w:tc>
        <w:tc>
          <w:tcPr>
            <w:tcW w:type="dxa" w:w="2721"/>
            <w:shd w:fill="D9E2F3"/>
            <w:tcMar>
              <w:top w:w="70" w:type="dxa"/>
              <w:start w:w="70" w:type="dxa"/>
              <w:bottom w:w="70" w:type="dxa"/>
              <w:end w:w="70" w:type="dxa"/>
            </w:tcMar>
            <w:vAlign w:val="center"/>
          </w:tcPr>
          <w:p>
            <w:pPr>
              <w:jc w:val="center"/>
            </w:pPr>
            <w:r>
              <w:rPr>
                <w:b/>
                <w:sz w:val="17"/>
              </w:rPr>
              <w:t>Soldiers deployed</w:t>
            </w:r>
          </w:p>
        </w:tc>
        <w:tc>
          <w:tcPr>
            <w:tcW w:type="dxa" w:w="5216"/>
            <w:shd w:fill="D9E2F3"/>
            <w:tcMar>
              <w:top w:w="70" w:type="dxa"/>
              <w:start w:w="70" w:type="dxa"/>
              <w:bottom w:w="70" w:type="dxa"/>
              <w:end w:w="70" w:type="dxa"/>
            </w:tcMar>
            <w:vAlign w:val="center"/>
          </w:tcPr>
          <w:p>
            <w:pPr>
              <w:jc w:val="center"/>
            </w:pPr>
            <w:r>
              <w:rPr>
                <w:b/>
                <w:sz w:val="17"/>
              </w:rPr>
              <w:t>Nature of intervention</w:t>
            </w:r>
          </w:p>
        </w:tc>
        <w:tc>
          <w:tcPr>
            <w:tcW w:type="dxa" w:w="1701"/>
            <w:shd w:fill="D9E2F3"/>
            <w:tcMar>
              <w:top w:w="70" w:type="dxa"/>
              <w:start w:w="70" w:type="dxa"/>
              <w:bottom w:w="70" w:type="dxa"/>
              <w:end w:w="70" w:type="dxa"/>
            </w:tcMar>
            <w:vAlign w:val="center"/>
          </w:tcPr>
          <w:p>
            <w:pPr>
              <w:jc w:val="center"/>
            </w:pPr>
            <w:r>
              <w:rPr>
                <w:b/>
                <w:sz w:val="17"/>
              </w:rPr>
              <w:t>Martial law</w:t>
            </w:r>
          </w:p>
        </w:tc>
      </w:tr>
      <w:tr>
        <w:trPr>
          <w:cantSplit/>
        </w:trPr>
        <w:tc>
          <w:tcPr>
            <w:tcW w:type="dxa" w:w="935"/>
            <w:tcMar>
              <w:top w:w="70" w:type="dxa"/>
              <w:start w:w="70" w:type="dxa"/>
              <w:bottom w:w="70" w:type="dxa"/>
              <w:end w:w="70" w:type="dxa"/>
            </w:tcMar>
            <w:vAlign w:val="top"/>
          </w:tcPr>
          <w:p>
            <w:pPr>
              <w:jc w:val="center"/>
            </w:pPr>
            <w:r>
              <w:rPr>
                <w:b/>
                <w:sz w:val="16"/>
              </w:rPr>
              <w:t>1795</w:t>
            </w:r>
          </w:p>
        </w:tc>
        <w:tc>
          <w:tcPr>
            <w:tcW w:type="dxa" w:w="2381"/>
            <w:tcMar>
              <w:top w:w="70" w:type="dxa"/>
              <w:start w:w="70" w:type="dxa"/>
              <w:bottom w:w="70" w:type="dxa"/>
              <w:end w:w="70" w:type="dxa"/>
            </w:tcMar>
            <w:vAlign w:val="top"/>
          </w:tcPr>
          <w:p>
            <w:r>
              <w:rPr>
                <w:b w:val="0"/>
                <w:sz w:val="16"/>
              </w:rPr>
              <w:t>Hawkesbury, NSW</w:t>
            </w:r>
          </w:p>
        </w:tc>
        <w:tc>
          <w:tcPr>
            <w:tcW w:type="dxa" w:w="2494"/>
            <w:tcMar>
              <w:top w:w="70" w:type="dxa"/>
              <w:start w:w="70" w:type="dxa"/>
              <w:bottom w:w="70" w:type="dxa"/>
              <w:end w:w="70" w:type="dxa"/>
            </w:tcMar>
            <w:vAlign w:val="top"/>
          </w:tcPr>
          <w:p>
            <w:r>
              <w:rPr>
                <w:b w:val="0"/>
                <w:sz w:val="16"/>
              </w:rPr>
              <w:t>New South Wales Corps</w:t>
            </w:r>
          </w:p>
        </w:tc>
        <w:tc>
          <w:tcPr>
            <w:tcW w:type="dxa" w:w="2721"/>
            <w:tcMar>
              <w:top w:w="70" w:type="dxa"/>
              <w:start w:w="70" w:type="dxa"/>
              <w:bottom w:w="70" w:type="dxa"/>
              <w:end w:w="70" w:type="dxa"/>
            </w:tcMar>
            <w:vAlign w:val="top"/>
          </w:tcPr>
          <w:p>
            <w:r>
              <w:rPr>
                <w:sz w:val="16"/>
              </w:rPr>
              <w:t>66 soldiers + 2 subaltern officers on the punitive expedition; later Hawkesbury garrison about 94 soldiers</w:t>
            </w:r>
          </w:p>
        </w:tc>
        <w:tc>
          <w:tcPr>
            <w:tcW w:type="dxa" w:w="5216"/>
            <w:tcMar>
              <w:top w:w="70" w:type="dxa"/>
              <w:start w:w="70" w:type="dxa"/>
              <w:bottom w:w="70" w:type="dxa"/>
              <w:end w:w="70" w:type="dxa"/>
            </w:tcMar>
            <w:vAlign w:val="top"/>
          </w:tcPr>
          <w:p>
            <w:r>
              <w:rPr>
                <w:sz w:val="16"/>
              </w:rPr>
              <w:t>Troops were sent to the Hawkesbury after killings and frontier violence, with punitive instructions and a continuing protective military presence in the settlement.</w:t>
            </w:r>
          </w:p>
        </w:tc>
        <w:tc>
          <w:tcPr>
            <w:tcW w:type="dxa" w:w="1701"/>
            <w:tcMar>
              <w:top w:w="70" w:type="dxa"/>
              <w:start w:w="70" w:type="dxa"/>
              <w:bottom w:w="70" w:type="dxa"/>
              <w:end w:w="70" w:type="dxa"/>
            </w:tcMar>
            <w:vAlign w:val="top"/>
          </w:tcPr>
          <w:p>
            <w:pPr>
              <w:jc w:val="center"/>
            </w:pPr>
            <w:r>
              <w:rPr>
                <w:sz w:val="16"/>
              </w:rPr>
              <w:t>No</w:t>
            </w:r>
          </w:p>
        </w:tc>
      </w:tr>
      <w:tr>
        <w:trPr>
          <w:cantSplit/>
        </w:trPr>
        <w:tc>
          <w:tcPr>
            <w:tcW w:type="dxa" w:w="935"/>
            <w:tcMar>
              <w:top w:w="70" w:type="dxa"/>
              <w:start w:w="70" w:type="dxa"/>
              <w:bottom w:w="70" w:type="dxa"/>
              <w:end w:w="70" w:type="dxa"/>
            </w:tcMar>
            <w:vAlign w:val="top"/>
          </w:tcPr>
          <w:p>
            <w:pPr>
              <w:jc w:val="center"/>
            </w:pPr>
            <w:r>
              <w:rPr>
                <w:b/>
                <w:sz w:val="16"/>
              </w:rPr>
              <w:t>1816</w:t>
            </w:r>
          </w:p>
        </w:tc>
        <w:tc>
          <w:tcPr>
            <w:tcW w:type="dxa" w:w="2381"/>
            <w:tcMar>
              <w:top w:w="70" w:type="dxa"/>
              <w:start w:w="70" w:type="dxa"/>
              <w:bottom w:w="70" w:type="dxa"/>
              <w:end w:w="70" w:type="dxa"/>
            </w:tcMar>
            <w:vAlign w:val="top"/>
          </w:tcPr>
          <w:p>
            <w:r>
              <w:rPr>
                <w:b w:val="0"/>
                <w:sz w:val="16"/>
              </w:rPr>
              <w:t>Hawkesbury–Nepean / Appin, NSW</w:t>
            </w:r>
          </w:p>
        </w:tc>
        <w:tc>
          <w:tcPr>
            <w:tcW w:type="dxa" w:w="2494"/>
            <w:tcMar>
              <w:top w:w="70" w:type="dxa"/>
              <w:start w:w="70" w:type="dxa"/>
              <w:bottom w:w="70" w:type="dxa"/>
              <w:end w:w="70" w:type="dxa"/>
            </w:tcMar>
            <w:vAlign w:val="top"/>
          </w:tcPr>
          <w:p>
            <w:r>
              <w:rPr>
                <w:b w:val="0"/>
                <w:sz w:val="16"/>
              </w:rPr>
              <w:t>46th (South Devonshire) Regiment of Foot</w:t>
            </w:r>
          </w:p>
        </w:tc>
        <w:tc>
          <w:tcPr>
            <w:tcW w:type="dxa" w:w="2721"/>
            <w:tcMar>
              <w:top w:w="70" w:type="dxa"/>
              <w:start w:w="70" w:type="dxa"/>
              <w:bottom w:w="70" w:type="dxa"/>
              <w:end w:w="70" w:type="dxa"/>
            </w:tcMar>
            <w:vAlign w:val="top"/>
          </w:tcPr>
          <w:p>
            <w:r>
              <w:t>c. 70–85 soldiers across the three initial detachments</w:t>
            </w:r>
          </w:p>
        </w:tc>
        <w:tc>
          <w:tcPr>
            <w:tcW w:type="dxa" w:w="5216"/>
            <w:tcMar>
              <w:top w:w="70" w:type="dxa"/>
              <w:start w:w="70" w:type="dxa"/>
              <w:bottom w:w="70" w:type="dxa"/>
              <w:end w:w="70" w:type="dxa"/>
            </w:tcMar>
            <w:vAlign w:val="top"/>
          </w:tcPr>
          <w:p>
            <w:r>
              <w:rPr>
                <w:sz w:val="16"/>
              </w:rPr>
              <w:t>Governor Macquarie ordered three military expeditions across the Hawkesbury, Nepean, Grose, Cowpastures and Appin districts against people officially described as “hostile natives”.</w:t>
            </w:r>
          </w:p>
        </w:tc>
        <w:tc>
          <w:tcPr>
            <w:tcW w:type="dxa" w:w="1701"/>
            <w:tcMar>
              <w:top w:w="70" w:type="dxa"/>
              <w:start w:w="70" w:type="dxa"/>
              <w:bottom w:w="70" w:type="dxa"/>
              <w:end w:w="70" w:type="dxa"/>
            </w:tcMar>
            <w:vAlign w:val="top"/>
          </w:tcPr>
          <w:p>
            <w:pPr>
              <w:jc w:val="center"/>
            </w:pPr>
            <w:r>
              <w:rPr>
                <w:sz w:val="16"/>
              </w:rPr>
              <w:t>No</w:t>
            </w:r>
          </w:p>
        </w:tc>
      </w:tr>
      <w:tr>
        <w:trPr>
          <w:cantSplit/>
        </w:trPr>
        <w:tc>
          <w:tcPr>
            <w:tcW w:type="dxa" w:w="935"/>
            <w:tcMar>
              <w:top w:w="70" w:type="dxa"/>
              <w:start w:w="70" w:type="dxa"/>
              <w:bottom w:w="70" w:type="dxa"/>
              <w:end w:w="70" w:type="dxa"/>
            </w:tcMar>
            <w:vAlign w:val="top"/>
          </w:tcPr>
          <w:p>
            <w:pPr>
              <w:jc w:val="center"/>
            </w:pPr>
            <w:r>
              <w:rPr>
                <w:b/>
                <w:sz w:val="16"/>
              </w:rPr>
              <w:t>1824</w:t>
            </w:r>
          </w:p>
        </w:tc>
        <w:tc>
          <w:tcPr>
            <w:tcW w:type="dxa" w:w="2381"/>
            <w:tcMar>
              <w:top w:w="70" w:type="dxa"/>
              <w:start w:w="70" w:type="dxa"/>
              <w:bottom w:w="70" w:type="dxa"/>
              <w:end w:w="70" w:type="dxa"/>
            </w:tcMar>
            <w:vAlign w:val="top"/>
          </w:tcPr>
          <w:p>
            <w:r>
              <w:rPr>
                <w:b w:val="0"/>
                <w:sz w:val="16"/>
              </w:rPr>
              <w:t>Bathurst, NSW</w:t>
            </w:r>
          </w:p>
        </w:tc>
        <w:tc>
          <w:tcPr>
            <w:tcW w:type="dxa" w:w="2494"/>
            <w:tcMar>
              <w:top w:w="70" w:type="dxa"/>
              <w:start w:w="70" w:type="dxa"/>
              <w:bottom w:w="70" w:type="dxa"/>
              <w:end w:w="70" w:type="dxa"/>
            </w:tcMar>
            <w:vAlign w:val="top"/>
          </w:tcPr>
          <w:p>
            <w:r>
              <w:rPr>
                <w:b w:val="0"/>
                <w:sz w:val="16"/>
              </w:rPr>
              <w:t>British Army garrison troops stationed in New South Wales</w:t>
            </w:r>
          </w:p>
        </w:tc>
        <w:tc>
          <w:tcPr>
            <w:tcW w:type="dxa" w:w="2721"/>
            <w:tcMar>
              <w:top w:w="70" w:type="dxa"/>
              <w:start w:w="70" w:type="dxa"/>
              <w:bottom w:w="70" w:type="dxa"/>
              <w:end w:w="70" w:type="dxa"/>
            </w:tcMar>
            <w:vAlign w:val="top"/>
          </w:tcPr>
          <w:p>
            <w:r>
              <w:rPr>
                <w:sz w:val="16"/>
              </w:rPr>
              <w:t>About 75 soldiers dispatched</w:t>
            </w:r>
          </w:p>
        </w:tc>
        <w:tc>
          <w:tcPr>
            <w:tcW w:type="dxa" w:w="5216"/>
            <w:tcMar>
              <w:top w:w="70" w:type="dxa"/>
              <w:start w:w="70" w:type="dxa"/>
              <w:bottom w:w="70" w:type="dxa"/>
              <w:end w:w="70" w:type="dxa"/>
            </w:tcMar>
            <w:vAlign w:val="top"/>
          </w:tcPr>
          <w:p>
            <w:r>
              <w:rPr>
                <w:sz w:val="16"/>
              </w:rPr>
              <w:t>Troops operated through the Bathurst district during escalating frontier violence and the period in which martial law was proclaimed west of Mount York.</w:t>
            </w:r>
          </w:p>
        </w:tc>
        <w:tc>
          <w:tcPr>
            <w:tcW w:type="dxa" w:w="1701"/>
            <w:tcMar>
              <w:top w:w="70" w:type="dxa"/>
              <w:start w:w="70" w:type="dxa"/>
              <w:bottom w:w="70" w:type="dxa"/>
              <w:end w:w="70" w:type="dxa"/>
            </w:tcMar>
            <w:vAlign w:val="top"/>
          </w:tcPr>
          <w:p>
            <w:pPr>
              <w:jc w:val="center"/>
            </w:pPr>
            <w:r>
              <w:rPr>
                <w:sz w:val="16"/>
              </w:rPr>
              <w:t>Yes — also in Martial Law schedule</w:t>
            </w:r>
          </w:p>
        </w:tc>
      </w:tr>
      <w:tr>
        <w:trPr>
          <w:cantSplit/>
        </w:trPr>
        <w:tc>
          <w:tcPr>
            <w:tcW w:type="dxa" w:w="935"/>
            <w:tcMar>
              <w:top w:w="70" w:type="dxa"/>
              <w:start w:w="70" w:type="dxa"/>
              <w:bottom w:w="70" w:type="dxa"/>
              <w:end w:w="70" w:type="dxa"/>
            </w:tcMar>
            <w:vAlign w:val="top"/>
          </w:tcPr>
          <w:p>
            <w:pPr>
              <w:jc w:val="center"/>
            </w:pPr>
            <w:r>
              <w:rPr>
                <w:b/>
                <w:sz w:val="16"/>
              </w:rPr>
              <w:t>1828–1830</w:t>
            </w:r>
          </w:p>
        </w:tc>
        <w:tc>
          <w:tcPr>
            <w:tcW w:type="dxa" w:w="2381"/>
            <w:tcMar>
              <w:top w:w="70" w:type="dxa"/>
              <w:start w:w="70" w:type="dxa"/>
              <w:bottom w:w="70" w:type="dxa"/>
              <w:end w:w="70" w:type="dxa"/>
            </w:tcMar>
            <w:vAlign w:val="top"/>
          </w:tcPr>
          <w:p>
            <w:r>
              <w:rPr>
                <w:b w:val="0"/>
                <w:sz w:val="16"/>
              </w:rPr>
              <w:t>Van Diemen’s Land / Black Line</w:t>
            </w:r>
          </w:p>
        </w:tc>
        <w:tc>
          <w:tcPr>
            <w:tcW w:type="dxa" w:w="2494"/>
            <w:tcMar>
              <w:top w:w="70" w:type="dxa"/>
              <w:start w:w="70" w:type="dxa"/>
              <w:bottom w:w="70" w:type="dxa"/>
              <w:end w:w="70" w:type="dxa"/>
            </w:tcMar>
            <w:vAlign w:val="top"/>
          </w:tcPr>
          <w:p>
            <w:r>
              <w:rPr>
                <w:b w:val="0"/>
                <w:sz w:val="16"/>
              </w:rPr>
              <w:t>British Army regiments stationed in Van Diemen’s Land, principally including the 63rd Regiment during the Black Line period</w:t>
            </w:r>
          </w:p>
        </w:tc>
        <w:tc>
          <w:tcPr>
            <w:tcW w:type="dxa" w:w="2721"/>
            <w:tcMar>
              <w:top w:w="70" w:type="dxa"/>
              <w:start w:w="70" w:type="dxa"/>
              <w:bottom w:w="70" w:type="dxa"/>
              <w:end w:w="70" w:type="dxa"/>
            </w:tcMar>
            <w:vAlign w:val="top"/>
          </w:tcPr>
          <w:p>
            <w:r>
              <w:rPr>
                <w:sz w:val="16"/>
              </w:rPr>
              <w:t>About 550 troops in the 1830 Black Line, within an overall force of about 2,200 soldiers, police, settlers and convicts</w:t>
            </w:r>
          </w:p>
        </w:tc>
        <w:tc>
          <w:tcPr>
            <w:tcW w:type="dxa" w:w="5216"/>
            <w:tcMar>
              <w:top w:w="70" w:type="dxa"/>
              <w:start w:w="70" w:type="dxa"/>
              <w:bottom w:w="70" w:type="dxa"/>
              <w:end w:w="70" w:type="dxa"/>
            </w:tcMar>
            <w:vAlign w:val="top"/>
          </w:tcPr>
          <w:p>
            <w:r>
              <w:rPr>
                <w:sz w:val="16"/>
              </w:rPr>
              <w:t>Military forces operated during martial law. The 1830 General Movement / Black Line was a coordinated sweep intended to capture or drive Aboriginal groups from the settled districts.</w:t>
            </w:r>
          </w:p>
        </w:tc>
        <w:tc>
          <w:tcPr>
            <w:tcW w:type="dxa" w:w="1701"/>
            <w:tcMar>
              <w:top w:w="70" w:type="dxa"/>
              <w:start w:w="70" w:type="dxa"/>
              <w:bottom w:w="70" w:type="dxa"/>
              <w:end w:w="70" w:type="dxa"/>
            </w:tcMar>
            <w:vAlign w:val="top"/>
          </w:tcPr>
          <w:p>
            <w:pPr>
              <w:jc w:val="center"/>
            </w:pPr>
            <w:r>
              <w:rPr>
                <w:sz w:val="16"/>
              </w:rPr>
              <w:t>Yes — also in Martial Law schedule</w:t>
            </w:r>
          </w:p>
        </w:tc>
      </w:tr>
      <w:tr>
        <w:trPr>
          <w:cantSplit/>
        </w:trPr>
        <w:tc>
          <w:tcPr>
            <w:tcW w:type="dxa" w:w="935"/>
            <w:tcMar>
              <w:top w:w="70" w:type="dxa"/>
              <w:start w:w="70" w:type="dxa"/>
              <w:bottom w:w="70" w:type="dxa"/>
              <w:end w:w="70" w:type="dxa"/>
            </w:tcMar>
            <w:vAlign w:val="top"/>
          </w:tcPr>
          <w:p>
            <w:pPr>
              <w:jc w:val="center"/>
            </w:pPr>
            <w:r>
              <w:rPr>
                <w:b/>
                <w:sz w:val="16"/>
              </w:rPr>
              <w:t>1834</w:t>
            </w:r>
          </w:p>
        </w:tc>
        <w:tc>
          <w:tcPr>
            <w:tcW w:type="dxa" w:w="2381"/>
            <w:tcMar>
              <w:top w:w="70" w:type="dxa"/>
              <w:start w:w="70" w:type="dxa"/>
              <w:bottom w:w="70" w:type="dxa"/>
              <w:end w:w="70" w:type="dxa"/>
            </w:tcMar>
            <w:vAlign w:val="top"/>
          </w:tcPr>
          <w:p>
            <w:r>
              <w:rPr>
                <w:b w:val="0"/>
                <w:sz w:val="16"/>
              </w:rPr>
              <w:t>Pinjarra, Western Australia</w:t>
            </w:r>
          </w:p>
        </w:tc>
        <w:tc>
          <w:tcPr>
            <w:tcW w:type="dxa" w:w="2494"/>
            <w:tcMar>
              <w:top w:w="70" w:type="dxa"/>
              <w:start w:w="70" w:type="dxa"/>
              <w:bottom w:w="70" w:type="dxa"/>
              <w:end w:w="70" w:type="dxa"/>
            </w:tcMar>
            <w:vAlign w:val="top"/>
          </w:tcPr>
          <w:p>
            <w:r>
              <w:rPr>
                <w:b w:val="0"/>
                <w:sz w:val="16"/>
              </w:rPr>
              <w:t>21st Regiment of Foot</w:t>
            </w:r>
          </w:p>
        </w:tc>
        <w:tc>
          <w:tcPr>
            <w:tcW w:type="dxa" w:w="2721"/>
            <w:tcMar>
              <w:top w:w="70" w:type="dxa"/>
              <w:start w:w="70" w:type="dxa"/>
              <w:bottom w:w="70" w:type="dxa"/>
              <w:end w:w="70" w:type="dxa"/>
            </w:tcMar>
            <w:vAlign w:val="top"/>
          </w:tcPr>
          <w:p>
            <w:r>
              <w:rPr>
                <w:sz w:val="16"/>
              </w:rPr>
              <w:t>10 soldiers — 2 corporals and 8 privates</w:t>
            </w:r>
          </w:p>
        </w:tc>
        <w:tc>
          <w:tcPr>
            <w:tcW w:type="dxa" w:w="5216"/>
            <w:tcMar>
              <w:top w:w="70" w:type="dxa"/>
              <w:start w:w="70" w:type="dxa"/>
              <w:bottom w:w="70" w:type="dxa"/>
              <w:end w:w="70" w:type="dxa"/>
            </w:tcMar>
            <w:vAlign w:val="top"/>
          </w:tcPr>
          <w:p>
            <w:r>
              <w:rPr>
                <w:sz w:val="16"/>
              </w:rPr>
              <w:t>Soldiers accompanied Governor Stirling’s mixed party of soldiers, police and civilians. The military component formed part of an officially sanctioned expedition following earlier killings and conflict in the Murray district.</w:t>
            </w:r>
          </w:p>
        </w:tc>
        <w:tc>
          <w:tcPr>
            <w:tcW w:type="dxa" w:w="1701"/>
            <w:tcMar>
              <w:top w:w="70" w:type="dxa"/>
              <w:start w:w="70" w:type="dxa"/>
              <w:bottom w:w="70" w:type="dxa"/>
              <w:end w:w="70" w:type="dxa"/>
            </w:tcMar>
            <w:vAlign w:val="top"/>
          </w:tcPr>
          <w:p>
            <w:pPr>
              <w:jc w:val="center"/>
            </w:pPr>
            <w:r>
              <w:rPr>
                <w:sz w:val="16"/>
              </w:rPr>
              <w:t>No</w:t>
            </w:r>
          </w:p>
        </w:tc>
      </w:tr>
      <w:tr>
        <w:trPr>
          <w:cantSplit/>
        </w:trPr>
        <w:tc>
          <w:tcPr>
            <w:tcW w:type="dxa" w:w="935"/>
            <w:tcMar>
              <w:top w:w="70" w:type="dxa"/>
              <w:start w:w="70" w:type="dxa"/>
              <w:bottom w:w="70" w:type="dxa"/>
              <w:end w:w="70" w:type="dxa"/>
            </w:tcMar>
            <w:vAlign w:val="top"/>
          </w:tcPr>
          <w:p>
            <w:pPr>
              <w:jc w:val="center"/>
            </w:pPr>
            <w:r>
              <w:rPr>
                <w:b/>
                <w:sz w:val="16"/>
              </w:rPr>
              <w:t>1838</w:t>
            </w:r>
          </w:p>
        </w:tc>
        <w:tc>
          <w:tcPr>
            <w:tcW w:type="dxa" w:w="2381"/>
            <w:tcMar>
              <w:top w:w="70" w:type="dxa"/>
              <w:start w:w="70" w:type="dxa"/>
              <w:bottom w:w="70" w:type="dxa"/>
              <w:end w:w="70" w:type="dxa"/>
            </w:tcMar>
            <w:vAlign w:val="top"/>
          </w:tcPr>
          <w:p>
            <w:r>
              <w:rPr>
                <w:b w:val="0"/>
                <w:sz w:val="16"/>
              </w:rPr>
              <w:t>Nunn expedition / Waterloo Creek, NSW</w:t>
            </w:r>
          </w:p>
        </w:tc>
        <w:tc>
          <w:tcPr>
            <w:tcW w:type="dxa" w:w="2494"/>
            <w:tcMar>
              <w:top w:w="70" w:type="dxa"/>
              <w:start w:w="70" w:type="dxa"/>
              <w:bottom w:w="70" w:type="dxa"/>
              <w:end w:w="70" w:type="dxa"/>
            </w:tcMar>
            <w:vAlign w:val="top"/>
          </w:tcPr>
          <w:p>
            <w:r>
              <w:rPr>
                <w:b w:val="0"/>
                <w:sz w:val="16"/>
              </w:rPr>
              <w:t>New South Wales Military Mounted Police — soldiers serving in the Mounted Police</w:t>
            </w:r>
          </w:p>
        </w:tc>
        <w:tc>
          <w:tcPr>
            <w:tcW w:type="dxa" w:w="2721"/>
            <w:tcMar>
              <w:top w:w="70" w:type="dxa"/>
              <w:start w:w="70" w:type="dxa"/>
              <w:bottom w:w="70" w:type="dxa"/>
              <w:end w:w="70" w:type="dxa"/>
            </w:tcMar>
            <w:vAlign w:val="top"/>
          </w:tcPr>
          <w:p>
            <w:r>
              <w:rPr>
                <w:sz w:val="16"/>
              </w:rPr>
              <w:t>2 sergeants + 20 troopers under Major James Nunn; about 23 military personnel including Nunn</w:t>
            </w:r>
          </w:p>
        </w:tc>
        <w:tc>
          <w:tcPr>
            <w:tcW w:type="dxa" w:w="5216"/>
            <w:tcMar>
              <w:top w:w="70" w:type="dxa"/>
              <w:start w:w="70" w:type="dxa"/>
              <w:bottom w:w="70" w:type="dxa"/>
              <w:end w:w="70" w:type="dxa"/>
            </w:tcMar>
            <w:vAlign w:val="top"/>
          </w:tcPr>
          <w:p>
            <w:r>
              <w:rPr>
                <w:sz w:val="16"/>
              </w:rPr>
              <w:t>The force was dispatched north after attacks on settlers to investigate and suppress the violence. The expedition culminated in the Waterloo Creek encounter.</w:t>
            </w:r>
          </w:p>
        </w:tc>
        <w:tc>
          <w:tcPr>
            <w:tcW w:type="dxa" w:w="1701"/>
            <w:tcMar>
              <w:top w:w="70" w:type="dxa"/>
              <w:start w:w="70" w:type="dxa"/>
              <w:bottom w:w="70" w:type="dxa"/>
              <w:end w:w="70" w:type="dxa"/>
            </w:tcMar>
            <w:vAlign w:val="top"/>
          </w:tcPr>
          <w:p>
            <w:pPr>
              <w:jc w:val="center"/>
            </w:pPr>
            <w:r>
              <w:rPr>
                <w:sz w:val="16"/>
              </w:rPr>
              <w:t>No</w:t>
            </w:r>
          </w:p>
        </w:tc>
      </w:tr>
      <w:tr>
        <w:trPr>
          <w:cantSplit/>
        </w:trPr>
        <w:tc>
          <w:tcPr>
            <w:tcW w:type="dxa" w:w="935"/>
            <w:tcMar>
              <w:top w:w="70" w:type="dxa"/>
              <w:start w:w="70" w:type="dxa"/>
              <w:bottom w:w="70" w:type="dxa"/>
              <w:end w:w="70" w:type="dxa"/>
            </w:tcMar>
            <w:vAlign w:val="top"/>
          </w:tcPr>
          <w:p>
            <w:pPr>
              <w:jc w:val="center"/>
            </w:pPr>
            <w:r>
              <w:rPr>
                <w:b/>
                <w:sz w:val="16"/>
              </w:rPr>
              <w:t>1842</w:t>
            </w:r>
          </w:p>
        </w:tc>
        <w:tc>
          <w:tcPr>
            <w:tcW w:type="dxa" w:w="2381"/>
            <w:tcMar>
              <w:top w:w="70" w:type="dxa"/>
              <w:start w:w="70" w:type="dxa"/>
              <w:bottom w:w="70" w:type="dxa"/>
              <w:end w:w="70" w:type="dxa"/>
            </w:tcMar>
            <w:vAlign w:val="top"/>
          </w:tcPr>
          <w:p>
            <w:r>
              <w:rPr>
                <w:b w:val="0"/>
                <w:sz w:val="16"/>
              </w:rPr>
              <w:t>Port Lincoln, South Australia</w:t>
            </w:r>
          </w:p>
        </w:tc>
        <w:tc>
          <w:tcPr>
            <w:tcW w:type="dxa" w:w="2494"/>
            <w:tcMar>
              <w:top w:w="70" w:type="dxa"/>
              <w:start w:w="70" w:type="dxa"/>
              <w:bottom w:w="70" w:type="dxa"/>
              <w:end w:w="70" w:type="dxa"/>
            </w:tcMar>
            <w:vAlign w:val="top"/>
          </w:tcPr>
          <w:p>
            <w:r>
              <w:rPr>
                <w:b w:val="0"/>
                <w:sz w:val="16"/>
              </w:rPr>
              <w:t>96th Regiment of Foot</w:t>
            </w:r>
          </w:p>
        </w:tc>
        <w:tc>
          <w:tcPr>
            <w:tcW w:type="dxa" w:w="2721"/>
            <w:tcMar>
              <w:top w:w="70" w:type="dxa"/>
              <w:start w:w="70" w:type="dxa"/>
              <w:bottom w:w="70" w:type="dxa"/>
              <w:end w:w="70" w:type="dxa"/>
            </w:tcMar>
            <w:vAlign w:val="top"/>
          </w:tcPr>
          <w:p>
            <w:r>
              <w:rPr>
                <w:sz w:val="16"/>
              </w:rPr>
              <w:t>19 — Lieutenant Hugonin + 1 sergeant + 1 corporal + 16 privates</w:t>
            </w:r>
          </w:p>
        </w:tc>
        <w:tc>
          <w:tcPr>
            <w:tcW w:type="dxa" w:w="5216"/>
            <w:tcMar>
              <w:top w:w="70" w:type="dxa"/>
              <w:start w:w="70" w:type="dxa"/>
              <w:bottom w:w="70" w:type="dxa"/>
              <w:end w:w="70" w:type="dxa"/>
            </w:tcMar>
            <w:vAlign w:val="top"/>
          </w:tcPr>
          <w:p>
            <w:r>
              <w:rPr>
                <w:sz w:val="16"/>
              </w:rPr>
              <w:t>A British Army detachment was sent from Adelaide to Port Lincoln following killings and serious local frontier violence, principally to protect settlers and support colonial authority.</w:t>
            </w:r>
          </w:p>
        </w:tc>
        <w:tc>
          <w:tcPr>
            <w:tcW w:type="dxa" w:w="1701"/>
            <w:tcMar>
              <w:top w:w="70" w:type="dxa"/>
              <w:start w:w="70" w:type="dxa"/>
              <w:bottom w:w="70" w:type="dxa"/>
              <w:end w:w="70" w:type="dxa"/>
            </w:tcMar>
            <w:vAlign w:val="top"/>
          </w:tcPr>
          <w:p>
            <w:pPr>
              <w:jc w:val="center"/>
            </w:pPr>
            <w:r>
              <w:rPr>
                <w:sz w:val="16"/>
              </w:rPr>
              <w:t>No</w:t>
            </w:r>
          </w:p>
        </w:tc>
      </w:tr>
    </w:tbl>
    <w:p>
      <w:pPr>
        <w:spacing w:before="120"/>
      </w:pPr>
      <w:r>
        <w:rPr>
          <w:b/>
        </w:rPr>
        <w:t xml:space="preserve">Note on overlap with the Martial Law schedule. </w:t>
      </w:r>
      <w:r>
        <w:t>Bathurst and Van Diemen’s Land are repeated deliberately. A declaration of martial law was a legal and governmental measure. The operational deployment of military forces was a separate historical fact. The two categories overlap in those cases but should not be conflated.</w:t>
      </w:r>
    </w:p>
    <w:p>
      <w:r>
        <w:t>Methodological point. The presence of British soldiers establishes military intervention; it does not by itself establish that the episode constituted a war. The figures in the “Soldiers deployed” column are intended to show the maximum contemporaneous field strength of the intervention, not the cumulative number of personnel who may have rotated through an operation over time. Each episode must still be examined according to its contemporary purpose, command structure, opposing organisation, continuity of operations and treatment by colonial and British military authorities.</w:t>
      </w:r>
    </w:p>
    <w:p>
      <w:r>
        <w:rPr>
          <w:b/>
        </w:rPr>
        <w:t xml:space="preserve">Working conclusion. </w:t>
      </w:r>
      <w:r>
        <w:t>The record shows episodic British military intervention on the Australian frontier rather than a continuous military campaign. The identifiable interventions include punitive expeditions, protection of settlers, support for colonial policing, and operations conducted under martial law. Whether any particular episode crossed the additional threshold into a British colonial war is a separate doctrinal question.</w:t>
      </w:r>
    </w:p>
    <w:p>
      <w:pPr>
        <w:pStyle w:val="Heading1"/>
      </w:pPr>
      <w:r>
        <w:t>Selected sources</w:t>
      </w:r>
    </w:p>
    <w:p>
      <w:pPr>
        <w:ind w:left="255" w:hanging="255"/>
      </w:pPr>
      <w:r>
        <w:rPr>
          <w:sz w:val="17"/>
        </w:rPr>
        <w:t>• Macquarie University, Macquarie Archive, April 1816 journal and orders concerning the 46th Regiment expeditions: https://www.mq.edu.au/macquarie-archive/lema/1816/1816april.html</w:t>
      </w:r>
    </w:p>
    <w:p>
      <w:pPr>
        <w:ind w:left="255" w:hanging="255"/>
      </w:pPr>
      <w:r>
        <w:rPr>
          <w:sz w:val="17"/>
        </w:rPr>
        <w:t>• Museums of History NSW, “Massacre at Appin, 17 April 1816”: https://mhnsw.au/stories/first-nations/massacre-appin-17-april-1816/</w:t>
      </w:r>
    </w:p>
    <w:p>
      <w:pPr>
        <w:ind w:left="255" w:hanging="255"/>
      </w:pPr>
      <w:r>
        <w:rPr>
          <w:sz w:val="17"/>
        </w:rPr>
        <w:t>• Bathurst Regional Council, Aboriginal Heritage Study (discussion of 1824 martial law and military deployment): https://www.bathurst.nsw.gov.au/files/assets/public/v/1/council/plans-policies/aboriginal-heritage-study.pdf</w:t>
      </w:r>
    </w:p>
    <w:p>
      <w:pPr>
        <w:ind w:left="255" w:hanging="255"/>
      </w:pPr>
      <w:r>
        <w:rPr>
          <w:sz w:val="17"/>
        </w:rPr>
        <w:t>• Australian War Memorial, Pinjarra / Battle of Pinjarra collection entry: https://www.awm.gov.au/collection/C2679424</w:t>
      </w:r>
    </w:p>
    <w:p>
      <w:pPr>
        <w:ind w:left="255" w:hanging="255"/>
      </w:pPr>
      <w:r>
        <w:rPr>
          <w:sz w:val="17"/>
        </w:rPr>
        <w:t>• Australian War Memorial, New South Wales Mounted Police collection entry: https://www.awm.gov.au/collection/C1358856</w:t>
      </w:r>
    </w:p>
    <w:p>
      <w:pPr>
        <w:ind w:left="255" w:hanging="255"/>
      </w:pPr>
      <w:r>
        <w:rPr>
          <w:sz w:val="17"/>
        </w:rPr>
        <w:t>• NSW Heritage, Waterloo Creek Massacre / Major Nunn expedition heritage entry: https://apps.environment.nsw.gov.au/dpcheritageapp/ViewHeritageItemDetails.aspx?ID=5056626</w:t>
      </w:r>
    </w:p>
    <w:p>
      <w:pPr>
        <w:ind w:left="255" w:hanging="255"/>
      </w:pPr>
      <w:r>
        <w:rPr>
          <w:sz w:val="17"/>
        </w:rPr>
        <w:t>• National Museum / ReCollections, discussion of the 1830 Black Line and force composition: https://recollections.nma.gov.au/issues/vol_5_no_2/papers/the_proclamation_cup_</w:t>
      </w:r>
    </w:p>
    <w:p>
      <w:pPr>
        <w:ind w:left="255" w:hanging="255"/>
      </w:pPr>
      <w:r>
        <w:rPr>
          <w:sz w:val="17"/>
        </w:rPr>
        <w:t>• University of Adelaide digital collection, material concerning the 96th Regiment detachment at Port Lincoln: https://digital.library.adelaide.edu.au/bitstreams/45784c9c-eb48-4c03-b0ed-cdf2c03fedb1/download</w:t>
      </w:r>
    </w:p>
    <w:p>
      <w:r>
        <w:t>• Stephen Gapps, The Sydney Wars: Conflict in the Early Colony 1788–1817 (NewSouth Publishing, 2018), together with Peter Turbet’s reconstruction of the April 1816 expedition strength; the initial three detachments are best expressed as approximately 70–85 soldiers.</w:t>
      </w:r>
    </w:p>
    <w:sectPr w:rsidR="00FC693F" w:rsidRPr="0006063C" w:rsidSect="00034616">
      <w:footerReference w:type="default" r:id="rId9"/>
      <w:pgSz w:w="16838" w:h="11906" w:orient="landscape"/>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Australian History Institute — Research Schedule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eastAsia="Aptos"/>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eastAsia="Apto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ptos" w:hAnsi="Aptos" w:eastAsia="Aptos"/>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